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E7" w:rsidRPr="00680CDC" w:rsidRDefault="00EB7300" w:rsidP="00EB7300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jc w:val="center"/>
        <w:rPr>
          <w:rFonts w:ascii="Arial" w:eastAsia="Times New Roman" w:hAnsi="Arial" w:cs="Arial"/>
          <w:b/>
          <w:sz w:val="56"/>
          <w:szCs w:val="56"/>
          <w:lang w:eastAsia="fr-FR"/>
        </w:rPr>
      </w:pPr>
      <w:r w:rsidRPr="00680CDC">
        <w:rPr>
          <w:rFonts w:ascii="Arial" w:hAnsi="Arial" w:cs="Arial"/>
          <w:b/>
          <w:noProof/>
          <w:color w:val="0000FF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 wp14:anchorId="7EAC26F4" wp14:editId="2D5F52EF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1415415" cy="9820275"/>
            <wp:effectExtent l="0" t="0" r="0" b="0"/>
            <wp:wrapNone/>
            <wp:docPr id="5" name="Picture 6" descr="UDMlogotetie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UDMlogotetie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9820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428CC" w:rsidRPr="00680CDC">
        <w:rPr>
          <w:rFonts w:ascii="Arial" w:hAnsi="Arial" w:cs="Arial"/>
          <w:b/>
          <w:noProof/>
          <w:color w:val="0000FF"/>
          <w:sz w:val="56"/>
          <w:szCs w:val="56"/>
          <w:lang w:eastAsia="fr-FR"/>
        </w:rPr>
        <w:t>LA GEMAPI</w:t>
      </w:r>
      <w:r w:rsidR="00F428CC" w:rsidRPr="00680CDC">
        <w:rPr>
          <w:rFonts w:ascii="Arial" w:eastAsia="Times New Roman" w:hAnsi="Arial" w:cs="Arial"/>
          <w:b/>
          <w:sz w:val="56"/>
          <w:szCs w:val="56"/>
          <w:lang w:eastAsia="fr-FR"/>
        </w:rPr>
        <w:t> </w:t>
      </w:r>
    </w:p>
    <w:p w:rsidR="00F428CC" w:rsidRPr="00F428CC" w:rsidRDefault="00F428CC" w:rsidP="00EB7300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jc w:val="center"/>
        <w:rPr>
          <w:rFonts w:ascii="Arial" w:eastAsia="Times New Roman" w:hAnsi="Arial" w:cs="Arial"/>
          <w:b/>
          <w:color w:val="0000FF"/>
          <w:sz w:val="32"/>
          <w:szCs w:val="32"/>
          <w:lang w:eastAsia="fr-FR"/>
        </w:rPr>
      </w:pPr>
      <w:r w:rsidRPr="00F428CC">
        <w:rPr>
          <w:rFonts w:ascii="Arial" w:eastAsia="Times New Roman" w:hAnsi="Arial" w:cs="Arial"/>
          <w:b/>
          <w:color w:val="0000FF"/>
          <w:sz w:val="32"/>
          <w:szCs w:val="32"/>
          <w:lang w:eastAsia="fr-FR"/>
        </w:rPr>
        <w:t>Gestion des Milieux Aquatiques et Prévention des Inondations</w:t>
      </w:r>
    </w:p>
    <w:p w:rsidR="00913DFA" w:rsidRDefault="00913DFA" w:rsidP="00EB7300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</w:p>
    <w:p w:rsidR="00251631" w:rsidRDefault="00F428CC" w:rsidP="00913DFA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Compétence créée </w:t>
      </w:r>
      <w:r w:rsidR="00001C35">
        <w:rPr>
          <w:rFonts w:ascii="Arial" w:eastAsia="Times New Roman" w:hAnsi="Arial" w:cs="Arial"/>
          <w:sz w:val="24"/>
          <w:szCs w:val="24"/>
          <w:lang w:eastAsia="fr-FR"/>
        </w:rPr>
        <w:t>par la loi MAPTAM du 27 janvier 2014 et attribuée aux communes, aux communautés et aux métropoles.</w:t>
      </w: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7646"/>
      </w:tblGrid>
      <w:tr w:rsidR="008B26A9" w:rsidRPr="008B26A9" w:rsidTr="008B26A9">
        <w:tc>
          <w:tcPr>
            <w:tcW w:w="9062" w:type="dxa"/>
            <w:shd w:val="clear" w:color="auto" w:fill="A6A6A6" w:themeFill="background1" w:themeFillShade="A6"/>
          </w:tcPr>
          <w:p w:rsidR="008B26A9" w:rsidRPr="008B26A9" w:rsidRDefault="008B26A9" w:rsidP="004D44DA">
            <w:pPr>
              <w:shd w:val="clear" w:color="auto" w:fill="FFFFFF"/>
              <w:tabs>
                <w:tab w:val="left" w:pos="1701"/>
              </w:tabs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B26A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Les EPCI à fiscalité propre </w:t>
            </w:r>
            <w:r w:rsidRPr="008B26A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exerceront obligatoirement cette compétence à compter du 1</w:t>
            </w:r>
            <w:r w:rsidRPr="008B26A9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fr-FR"/>
              </w:rPr>
              <w:t>er</w:t>
            </w:r>
            <w:r w:rsidRPr="008B26A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janvier 2018 (</w:t>
            </w:r>
            <w:r w:rsidRPr="008B26A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loi NOTRE du 7 août 2015)</w:t>
            </w:r>
          </w:p>
        </w:tc>
      </w:tr>
    </w:tbl>
    <w:p w:rsidR="00251631" w:rsidRPr="00E24B48" w:rsidRDefault="008B26A9" w:rsidP="00E24B48">
      <w:pPr>
        <w:pStyle w:val="Paragraphedeliste"/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E24B48">
        <w:rPr>
          <w:rFonts w:ascii="Arial" w:eastAsia="Times New Roman" w:hAnsi="Arial" w:cs="Arial"/>
          <w:b/>
          <w:color w:val="0000FF"/>
          <w:sz w:val="27"/>
          <w:szCs w:val="27"/>
          <w:u w:val="single"/>
          <w:lang w:eastAsia="fr-FR"/>
        </w:rPr>
        <w:t>La compétence</w:t>
      </w:r>
      <w:r w:rsidR="00E24B48">
        <w:rPr>
          <w:rFonts w:ascii="Arial" w:eastAsia="Times New Roman" w:hAnsi="Arial" w:cs="Arial"/>
          <w:b/>
          <w:color w:val="0000FF"/>
          <w:sz w:val="27"/>
          <w:szCs w:val="27"/>
          <w:u w:val="single"/>
          <w:lang w:eastAsia="fr-FR"/>
        </w:rPr>
        <w:t>_____________________________________</w:t>
      </w:r>
      <w:r w:rsidR="00E24B48">
        <w:rPr>
          <w:rFonts w:ascii="Arial" w:eastAsia="Times New Roman" w:hAnsi="Arial" w:cs="Arial"/>
          <w:sz w:val="24"/>
          <w:szCs w:val="24"/>
          <w:u w:val="single"/>
          <w:lang w:eastAsia="fr-FR"/>
        </w:rPr>
        <w:t xml:space="preserve"> </w:t>
      </w:r>
    </w:p>
    <w:p w:rsidR="00251631" w:rsidRDefault="00251631" w:rsidP="00251631">
      <w:pPr>
        <w:pStyle w:val="Paragraphedeliste"/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b/>
          <w:color w:val="0000FF"/>
          <w:sz w:val="24"/>
          <w:szCs w:val="24"/>
          <w:lang w:eastAsia="fr-FR"/>
        </w:rPr>
      </w:pPr>
    </w:p>
    <w:p w:rsidR="00EB7300" w:rsidRDefault="008B26A9" w:rsidP="00251631">
      <w:pPr>
        <w:pStyle w:val="Paragraphedeliste"/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Elle est définie par les quatre alinéas de l’article L.211-7 du code de l’environnement</w:t>
      </w:r>
      <w:r w:rsidR="00D510E7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:rsidR="00D510E7" w:rsidRPr="004F1466" w:rsidRDefault="008B26A9" w:rsidP="00D510E7">
      <w:pPr>
        <w:pStyle w:val="Paragraphedeliste"/>
        <w:numPr>
          <w:ilvl w:val="0"/>
          <w:numId w:val="3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lang w:eastAsia="fr-FR"/>
        </w:rPr>
      </w:pPr>
      <w:r w:rsidRPr="004F1466">
        <w:rPr>
          <w:rFonts w:ascii="Arial" w:eastAsia="Times New Roman" w:hAnsi="Arial" w:cs="Arial"/>
          <w:color w:val="0000FF"/>
          <w:sz w:val="24"/>
          <w:szCs w:val="24"/>
          <w:lang w:eastAsia="fr-FR"/>
        </w:rPr>
        <w:t>Aménagement d’un bassin ou d’une fraction de bassin hydrograp</w:t>
      </w:r>
      <w:r w:rsidR="004F1466">
        <w:rPr>
          <w:rFonts w:ascii="Arial" w:eastAsia="Times New Roman" w:hAnsi="Arial" w:cs="Arial"/>
          <w:color w:val="0000FF"/>
          <w:sz w:val="24"/>
          <w:szCs w:val="24"/>
          <w:lang w:eastAsia="fr-FR"/>
        </w:rPr>
        <w:t>h</w:t>
      </w:r>
      <w:r w:rsidRPr="004F1466">
        <w:rPr>
          <w:rFonts w:ascii="Arial" w:eastAsia="Times New Roman" w:hAnsi="Arial" w:cs="Arial"/>
          <w:color w:val="0000FF"/>
          <w:sz w:val="24"/>
          <w:szCs w:val="24"/>
          <w:lang w:eastAsia="fr-FR"/>
        </w:rPr>
        <w:t>ique</w:t>
      </w:r>
    </w:p>
    <w:p w:rsidR="00D510E7" w:rsidRPr="004F1466" w:rsidRDefault="008B26A9" w:rsidP="00D510E7">
      <w:pPr>
        <w:pStyle w:val="Paragraphedeliste"/>
        <w:numPr>
          <w:ilvl w:val="0"/>
          <w:numId w:val="3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lang w:eastAsia="fr-FR"/>
        </w:rPr>
      </w:pPr>
      <w:r w:rsidRPr="004F1466">
        <w:rPr>
          <w:rFonts w:ascii="Arial" w:eastAsia="Times New Roman" w:hAnsi="Arial" w:cs="Arial"/>
          <w:color w:val="0000FF"/>
          <w:sz w:val="24"/>
          <w:szCs w:val="24"/>
          <w:lang w:eastAsia="fr-FR"/>
        </w:rPr>
        <w:t>Entretien et aménagement d’un cours d’eau, canal, lac ou plan d’eau, y compris les accès relatifs à ces quatre catégories</w:t>
      </w:r>
    </w:p>
    <w:p w:rsidR="008B26A9" w:rsidRPr="004F1466" w:rsidRDefault="008B26A9" w:rsidP="00D510E7">
      <w:pPr>
        <w:pStyle w:val="Paragraphedeliste"/>
        <w:numPr>
          <w:ilvl w:val="0"/>
          <w:numId w:val="3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lang w:eastAsia="fr-FR"/>
        </w:rPr>
      </w:pPr>
      <w:r w:rsidRPr="004F1466">
        <w:rPr>
          <w:rFonts w:ascii="Arial" w:eastAsia="Times New Roman" w:hAnsi="Arial" w:cs="Arial"/>
          <w:color w:val="0000FF"/>
          <w:sz w:val="24"/>
          <w:szCs w:val="24"/>
          <w:lang w:eastAsia="fr-FR"/>
        </w:rPr>
        <w:t>Défense contre les inondations et contre la mer</w:t>
      </w:r>
    </w:p>
    <w:p w:rsidR="008B26A9" w:rsidRDefault="008B26A9" w:rsidP="00D510E7">
      <w:pPr>
        <w:pStyle w:val="Paragraphedeliste"/>
        <w:numPr>
          <w:ilvl w:val="0"/>
          <w:numId w:val="3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F1466">
        <w:rPr>
          <w:rFonts w:ascii="Arial" w:eastAsia="Times New Roman" w:hAnsi="Arial" w:cs="Arial"/>
          <w:color w:val="0000FF"/>
          <w:sz w:val="24"/>
          <w:szCs w:val="24"/>
          <w:lang w:eastAsia="fr-FR"/>
        </w:rPr>
        <w:t>Protection et restauration des sites, des écosystèmes aquatiques et des zones humides ainsi que des formations boisées riveraines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4F1466" w:rsidRPr="004F1466" w:rsidRDefault="004F1466" w:rsidP="004F1466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Cette compétence attribuée aux communes et aux EPCI à fiscalité propre peut être transférée par ces dernières en tout ou partie à des groupements de collectivités (syndicats de rivières, établissement public territorial de bassin, établissements publics d’aménagement et de gestion de l’eau</w:t>
      </w: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..)</w:t>
      </w:r>
      <w:proofErr w:type="gramEnd"/>
    </w:p>
    <w:p w:rsidR="00EB7300" w:rsidRPr="00E24B48" w:rsidRDefault="00E24B48" w:rsidP="00E24B48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430CB" w:rsidRPr="00E24B48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fr-FR"/>
        </w:rPr>
        <w:t>Qu’est</w:t>
      </w:r>
      <w:r w:rsidR="00A430CB" w:rsidRPr="00E24B48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fr-FR"/>
        </w:rPr>
        <w:t>-ce que recouvre la compétence</w:t>
      </w:r>
      <w:r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fr-FR"/>
        </w:rPr>
        <w:t> </w:t>
      </w:r>
      <w:r w:rsidR="00A430CB" w:rsidRPr="00E24B48">
        <w:rPr>
          <w:rFonts w:ascii="Arial" w:eastAsia="Times New Roman" w:hAnsi="Arial" w:cs="Arial"/>
          <w:color w:val="0000FF"/>
          <w:sz w:val="24"/>
          <w:szCs w:val="24"/>
          <w:u w:val="single"/>
          <w:lang w:eastAsia="fr-FR"/>
        </w:rPr>
        <w:t>?</w:t>
      </w:r>
      <w:r w:rsidRPr="00E24B48">
        <w:rPr>
          <w:rFonts w:ascii="Arial" w:eastAsia="Times New Roman" w:hAnsi="Arial" w:cs="Arial"/>
          <w:color w:val="0000FF"/>
          <w:sz w:val="24"/>
          <w:szCs w:val="24"/>
          <w:u w:val="single"/>
          <w:lang w:eastAsia="fr-FR"/>
        </w:rPr>
        <w:t>___________________</w:t>
      </w:r>
    </w:p>
    <w:p w:rsidR="00A430CB" w:rsidRPr="00251631" w:rsidRDefault="00A430CB" w:rsidP="00A430CB">
      <w:pPr>
        <w:pStyle w:val="Paragraphedeliste"/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776"/>
        <w:rPr>
          <w:rFonts w:ascii="Arial" w:eastAsia="Times New Roman" w:hAnsi="Arial" w:cs="Arial"/>
          <w:color w:val="0000FF"/>
          <w:sz w:val="24"/>
          <w:szCs w:val="24"/>
          <w:lang w:eastAsia="fr-FR"/>
        </w:rPr>
      </w:pPr>
    </w:p>
    <w:p w:rsidR="00A430CB" w:rsidRPr="00A430CB" w:rsidRDefault="00A430CB" w:rsidP="00A430CB">
      <w:pPr>
        <w:pStyle w:val="Paragraphedeliste"/>
        <w:numPr>
          <w:ilvl w:val="0"/>
          <w:numId w:val="5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lang w:eastAsia="fr-FR"/>
        </w:rPr>
      </w:pPr>
      <w:r w:rsidRPr="004F1466">
        <w:rPr>
          <w:rFonts w:ascii="Arial" w:eastAsia="Times New Roman" w:hAnsi="Arial" w:cs="Arial"/>
          <w:color w:val="0000FF"/>
          <w:sz w:val="24"/>
          <w:szCs w:val="24"/>
          <w:lang w:eastAsia="fr-FR"/>
        </w:rPr>
        <w:t>Aménagement d’un bassin ou d’une fraction de bassin hydrograp</w:t>
      </w:r>
      <w:r>
        <w:rPr>
          <w:rFonts w:ascii="Arial" w:eastAsia="Times New Roman" w:hAnsi="Arial" w:cs="Arial"/>
          <w:color w:val="0000FF"/>
          <w:sz w:val="24"/>
          <w:szCs w:val="24"/>
          <w:lang w:eastAsia="fr-FR"/>
        </w:rPr>
        <w:t>h</w:t>
      </w:r>
      <w:r w:rsidRPr="004F1466">
        <w:rPr>
          <w:rFonts w:ascii="Arial" w:eastAsia="Times New Roman" w:hAnsi="Arial" w:cs="Arial"/>
          <w:color w:val="0000FF"/>
          <w:sz w:val="24"/>
          <w:szCs w:val="24"/>
          <w:lang w:eastAsia="fr-FR"/>
        </w:rPr>
        <w:t>ique</w:t>
      </w:r>
      <w:r>
        <w:rPr>
          <w:rFonts w:ascii="Arial" w:eastAsia="Times New Roman" w:hAnsi="Arial" w:cs="Arial"/>
          <w:color w:val="0000FF"/>
          <w:sz w:val="24"/>
          <w:szCs w:val="24"/>
          <w:lang w:eastAsia="fr-FR"/>
        </w:rPr>
        <w:t xml:space="preserve"> : </w:t>
      </w:r>
      <w:r w:rsidRPr="00A430CB">
        <w:rPr>
          <w:rFonts w:ascii="Arial" w:eastAsia="Times New Roman" w:hAnsi="Arial" w:cs="Arial"/>
          <w:sz w:val="24"/>
          <w:szCs w:val="24"/>
          <w:lang w:eastAsia="fr-FR"/>
        </w:rPr>
        <w:t>prévoir des objectifs d’utilisation</w:t>
      </w:r>
      <w:r>
        <w:rPr>
          <w:rFonts w:ascii="Arial" w:eastAsia="Times New Roman" w:hAnsi="Arial" w:cs="Arial"/>
          <w:sz w:val="24"/>
          <w:szCs w:val="24"/>
          <w:lang w:eastAsia="fr-FR"/>
        </w:rPr>
        <w:t>, de mise en valeur, de protection quantitative et qualitative de la ressource en eau</w:t>
      </w:r>
    </w:p>
    <w:p w:rsidR="00A430CB" w:rsidRPr="001F78BB" w:rsidRDefault="00A430CB" w:rsidP="00A430CB">
      <w:pPr>
        <w:pStyle w:val="Paragraphedeliste"/>
        <w:numPr>
          <w:ilvl w:val="0"/>
          <w:numId w:val="5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lang w:eastAsia="fr-FR"/>
        </w:rPr>
      </w:pPr>
      <w:r w:rsidRPr="004F1466">
        <w:rPr>
          <w:rFonts w:ascii="Arial" w:eastAsia="Times New Roman" w:hAnsi="Arial" w:cs="Arial"/>
          <w:color w:val="0000FF"/>
          <w:sz w:val="24"/>
          <w:szCs w:val="24"/>
          <w:lang w:eastAsia="fr-FR"/>
        </w:rPr>
        <w:t>Entretien et aménagement d’un cours d’eau, canal, lac ou plan d’eau</w:t>
      </w:r>
      <w:r w:rsidR="002074E4">
        <w:rPr>
          <w:rFonts w:ascii="Arial" w:eastAsia="Times New Roman" w:hAnsi="Arial" w:cs="Arial"/>
          <w:color w:val="0000FF"/>
          <w:sz w:val="24"/>
          <w:szCs w:val="24"/>
          <w:lang w:eastAsia="fr-FR"/>
        </w:rPr>
        <w:t xml:space="preserve"> : </w:t>
      </w:r>
      <w:r w:rsidR="002074E4" w:rsidRPr="001F78BB">
        <w:rPr>
          <w:rFonts w:ascii="Arial" w:eastAsia="Times New Roman" w:hAnsi="Arial" w:cs="Arial"/>
          <w:sz w:val="24"/>
          <w:szCs w:val="24"/>
          <w:lang w:eastAsia="fr-FR"/>
        </w:rPr>
        <w:t>y compris les accès pour des motifs d’intérêt général ou d’urgence, notamment en cas de carence généralisée des propriétaires riverains concernant leurs obligations d’entretien courant.</w:t>
      </w:r>
    </w:p>
    <w:p w:rsidR="001F78BB" w:rsidRPr="001F78BB" w:rsidRDefault="001F78BB" w:rsidP="001F78BB">
      <w:pPr>
        <w:pStyle w:val="Paragraphedeliste"/>
        <w:numPr>
          <w:ilvl w:val="0"/>
          <w:numId w:val="5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F1466">
        <w:rPr>
          <w:rFonts w:ascii="Arial" w:eastAsia="Times New Roman" w:hAnsi="Arial" w:cs="Arial"/>
          <w:color w:val="0000FF"/>
          <w:sz w:val="24"/>
          <w:szCs w:val="24"/>
          <w:lang w:eastAsia="fr-FR"/>
        </w:rPr>
        <w:t>Défense contre les inondations et contre la mer</w:t>
      </w:r>
      <w:r>
        <w:rPr>
          <w:rFonts w:ascii="Arial" w:eastAsia="Times New Roman" w:hAnsi="Arial" w:cs="Arial"/>
          <w:color w:val="0000FF"/>
          <w:sz w:val="24"/>
          <w:szCs w:val="24"/>
          <w:lang w:eastAsia="fr-FR"/>
        </w:rPr>
        <w:t xml:space="preserve"> : </w:t>
      </w:r>
      <w:r w:rsidRPr="001F78BB">
        <w:rPr>
          <w:rFonts w:ascii="Arial" w:eastAsia="Times New Roman" w:hAnsi="Arial" w:cs="Arial"/>
          <w:sz w:val="24"/>
          <w:szCs w:val="24"/>
          <w:lang w:eastAsia="fr-FR"/>
        </w:rPr>
        <w:t xml:space="preserve">les ouvrages de protection existants contre les inondations et les submersions ainsi que les systèmes d’endiguement </w:t>
      </w:r>
      <w:r w:rsidRPr="001F78B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seront </w:t>
      </w:r>
      <w:r w:rsidR="00680CDC" w:rsidRPr="00251631">
        <w:rPr>
          <w:rFonts w:ascii="Arial" w:hAnsi="Arial" w:cs="Arial"/>
          <w:b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0760DF5B" wp14:editId="2A6553B1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1415415" cy="9820275"/>
            <wp:effectExtent l="0" t="0" r="0" b="0"/>
            <wp:wrapNone/>
            <wp:docPr id="6" name="Picture 6" descr="UDMlogotetie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UDMlogotetie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9820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F78BB">
        <w:rPr>
          <w:rFonts w:ascii="Arial" w:eastAsia="Times New Roman" w:hAnsi="Arial" w:cs="Arial"/>
          <w:b/>
          <w:sz w:val="24"/>
          <w:szCs w:val="24"/>
          <w:lang w:eastAsia="fr-FR"/>
        </w:rPr>
        <w:t>mis à disposition, gratuitement,</w:t>
      </w:r>
      <w:r w:rsidRPr="001F78BB">
        <w:rPr>
          <w:rFonts w:ascii="Arial" w:eastAsia="Times New Roman" w:hAnsi="Arial" w:cs="Arial"/>
          <w:sz w:val="24"/>
          <w:szCs w:val="24"/>
          <w:lang w:eastAsia="fr-FR"/>
        </w:rPr>
        <w:t xml:space="preserve"> des EPCI (sauf si la MAD n’est pas compatible avec la fonctionnalité de l’ouvrage)</w:t>
      </w:r>
    </w:p>
    <w:p w:rsidR="00EB7300" w:rsidRPr="00680CDC" w:rsidRDefault="001F78BB" w:rsidP="00680CDC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FF"/>
          <w:sz w:val="24"/>
          <w:szCs w:val="24"/>
          <w:lang w:eastAsia="fr-FR"/>
        </w:rPr>
        <w:tab/>
      </w:r>
    </w:p>
    <w:p w:rsidR="001F78BB" w:rsidRDefault="001F78BB" w:rsidP="00D84EC6">
      <w:pPr>
        <w:shd w:val="clear" w:color="auto" w:fill="FFFFFF"/>
        <w:spacing w:before="100" w:beforeAutospacing="1" w:after="100" w:afterAutospacing="1" w:line="240" w:lineRule="auto"/>
        <w:ind w:left="1416"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Il faut distinguer : </w:t>
      </w:r>
    </w:p>
    <w:p w:rsidR="00EB7300" w:rsidRDefault="001F78BB" w:rsidP="00D84EC6">
      <w:pPr>
        <w:shd w:val="clear" w:color="auto" w:fill="FFFFFF"/>
        <w:spacing w:before="100" w:beforeAutospacing="1" w:after="100" w:afterAutospacing="1" w:line="240" w:lineRule="auto"/>
        <w:ind w:left="1416"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2362A" wp14:editId="1ED4A0A2">
                <wp:simplePos x="0" y="0"/>
                <wp:positionH relativeFrom="column">
                  <wp:posOffset>4329430</wp:posOffset>
                </wp:positionH>
                <wp:positionV relativeFrom="paragraph">
                  <wp:posOffset>79375</wp:posOffset>
                </wp:positionV>
                <wp:extent cx="533400" cy="47625"/>
                <wp:effectExtent l="0" t="19050" r="38100" b="47625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585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340.9pt;margin-top:6.25pt;width:42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" adj="20636" fillcolor="#5b9bd5 [3204]" strokecolor="#1f4d78 [1604]" strokeweight="1pt"/>
            </w:pict>
          </mc:Fallback>
        </mc:AlternateContent>
      </w:r>
      <w:r w:rsidR="00D84EC6">
        <w:rPr>
          <w:rFonts w:ascii="Arial" w:eastAsia="Times New Roman" w:hAnsi="Arial" w:cs="Arial"/>
          <w:sz w:val="24"/>
          <w:szCs w:val="24"/>
          <w:lang w:eastAsia="fr-FR"/>
        </w:rPr>
        <w:t xml:space="preserve">-   </w:t>
      </w:r>
      <w:r>
        <w:rPr>
          <w:rFonts w:ascii="Arial" w:eastAsia="Times New Roman" w:hAnsi="Arial" w:cs="Arial"/>
          <w:sz w:val="24"/>
          <w:szCs w:val="24"/>
          <w:lang w:eastAsia="fr-FR"/>
        </w:rPr>
        <w:t>les ouvrages gérés par une personne publique</w:t>
      </w:r>
      <w:r w:rsidR="00EB7300" w:rsidRPr="00EB7300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B7268F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MAD par voie de convention</w:t>
      </w:r>
    </w:p>
    <w:p w:rsidR="00B7268F" w:rsidRDefault="00B7268F" w:rsidP="00D84EC6">
      <w:pPr>
        <w:shd w:val="clear" w:color="auto" w:fill="FFFFFF"/>
        <w:spacing w:before="100" w:beforeAutospacing="1" w:after="100" w:afterAutospacing="1" w:line="240" w:lineRule="auto"/>
        <w:ind w:left="1416"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E98BB" wp14:editId="76E61393">
                <wp:simplePos x="0" y="0"/>
                <wp:positionH relativeFrom="column">
                  <wp:posOffset>4876800</wp:posOffset>
                </wp:positionH>
                <wp:positionV relativeFrom="paragraph">
                  <wp:posOffset>85090</wp:posOffset>
                </wp:positionV>
                <wp:extent cx="533400" cy="47625"/>
                <wp:effectExtent l="0" t="19050" r="38100" b="47625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089DA" id="Flèche droite 2" o:spid="_x0000_s1026" type="#_x0000_t13" style="position:absolute;margin-left:384pt;margin-top:6.7pt;width:42pt;height: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" adj="20636" fillcolor="#5b9bd5" strokecolor="#41719c" strokeweight="1pt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fr-FR"/>
        </w:rPr>
        <w:t>-   les ouvrages gérés par un gestionnaire d’infrastructure                   MAD par convention de gestion « conjointe »</w:t>
      </w:r>
    </w:p>
    <w:p w:rsidR="00B7268F" w:rsidRPr="00EB7300" w:rsidRDefault="00B7268F" w:rsidP="00D84EC6">
      <w:pPr>
        <w:shd w:val="clear" w:color="auto" w:fill="FFFFFF"/>
        <w:spacing w:before="100" w:beforeAutospacing="1" w:after="100" w:afterAutospacing="1" w:line="240" w:lineRule="auto"/>
        <w:ind w:left="1416"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9F36B" wp14:editId="2B9C005A">
                <wp:simplePos x="0" y="0"/>
                <wp:positionH relativeFrom="column">
                  <wp:posOffset>2686050</wp:posOffset>
                </wp:positionH>
                <wp:positionV relativeFrom="paragraph">
                  <wp:posOffset>75565</wp:posOffset>
                </wp:positionV>
                <wp:extent cx="533400" cy="47625"/>
                <wp:effectExtent l="0" t="19050" r="38100" b="4762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2FAC2" id="Flèche droite 3" o:spid="_x0000_s1026" type="#_x0000_t13" style="position:absolute;margin-left:211.5pt;margin-top:5.95pt;width:42pt;height: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" adj="20636" fillcolor="#5b9bd5" strokecolor="#41719c" strokeweight="1pt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fr-FR"/>
        </w:rPr>
        <w:t>-   les « digues » privées                   mise en place d’un régime de servitude après enquête publique.</w:t>
      </w:r>
    </w:p>
    <w:p w:rsidR="00EB7300" w:rsidRPr="00E24B48" w:rsidRDefault="00913DFA" w:rsidP="00913DFA">
      <w:pPr>
        <w:shd w:val="clear" w:color="auto" w:fill="FFFFFF"/>
        <w:tabs>
          <w:tab w:val="left" w:pos="1276"/>
        </w:tabs>
        <w:spacing w:before="100" w:beforeAutospacing="1" w:after="100" w:afterAutospacing="1" w:line="240" w:lineRule="auto"/>
        <w:ind w:left="870" w:right="-709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B7268F" w:rsidRPr="00E24B48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fr-FR"/>
        </w:rPr>
        <w:t>Préparation du transfert de la compétence aux EPCI</w:t>
      </w:r>
      <w:r w:rsidR="00E24B48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fr-FR"/>
        </w:rPr>
        <w:t>___________</w:t>
      </w:r>
    </w:p>
    <w:p w:rsidR="00315EAD" w:rsidRPr="00315EAD" w:rsidRDefault="00315EAD" w:rsidP="00315EAD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  <w:lang w:eastAsia="fr-FR"/>
        </w:rPr>
      </w:pPr>
      <w:r w:rsidRPr="00315EAD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Une Mission d’Appui Technique</w:t>
      </w:r>
    </w:p>
    <w:p w:rsidR="00315EAD" w:rsidRPr="00315EAD" w:rsidRDefault="00315EAD" w:rsidP="00315EAD">
      <w:pPr>
        <w:pStyle w:val="Paragraphedeliste"/>
        <w:shd w:val="clear" w:color="auto" w:fill="FFFFFF"/>
        <w:spacing w:after="0" w:line="240" w:lineRule="auto"/>
        <w:ind w:left="2136"/>
        <w:rPr>
          <w:rFonts w:ascii="Arial" w:eastAsia="Times New Roman" w:hAnsi="Arial" w:cs="Arial"/>
          <w:b/>
          <w:color w:val="0000FF"/>
          <w:sz w:val="24"/>
          <w:szCs w:val="24"/>
          <w:lang w:eastAsia="fr-FR"/>
        </w:rPr>
      </w:pPr>
    </w:p>
    <w:p w:rsidR="00EB7300" w:rsidRPr="00315EAD" w:rsidRDefault="00B7268F" w:rsidP="00315EAD">
      <w:pPr>
        <w:pStyle w:val="Paragraphedeliste"/>
        <w:shd w:val="clear" w:color="auto" w:fill="FFFFFF"/>
        <w:spacing w:after="0" w:line="240" w:lineRule="auto"/>
        <w:ind w:left="2136"/>
        <w:rPr>
          <w:rFonts w:ascii="Arial" w:eastAsia="Times New Roman" w:hAnsi="Arial" w:cs="Arial"/>
          <w:sz w:val="24"/>
          <w:szCs w:val="24"/>
          <w:lang w:eastAsia="fr-FR"/>
        </w:rPr>
      </w:pPr>
      <w:r w:rsidRPr="00315EAD">
        <w:rPr>
          <w:rFonts w:ascii="Arial" w:eastAsia="Times New Roman" w:hAnsi="Arial" w:cs="Arial"/>
          <w:bCs/>
          <w:sz w:val="24"/>
          <w:szCs w:val="24"/>
          <w:lang w:eastAsia="fr-FR"/>
        </w:rPr>
        <w:t>Chaque Préfet, coordinateur de bassin, est tenu de mettre en place</w:t>
      </w:r>
      <w:r w:rsidRPr="00315EA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315EAD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un</w:t>
      </w:r>
      <w:r w:rsidR="00315EAD" w:rsidRPr="00315EAD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e</w:t>
      </w:r>
      <w:r w:rsidRPr="00315EAD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 xml:space="preserve"> mission d’appui technique </w:t>
      </w:r>
      <w:r w:rsidRPr="00315EA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composée de représentants de l’Etat</w:t>
      </w:r>
      <w:r w:rsidR="00A35DB8" w:rsidRPr="00315EA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, des collectivités territoriales et de leurs groupements</w:t>
      </w:r>
      <w:r w:rsidR="00EB7300" w:rsidRPr="00315EAD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913DFA" w:rsidRDefault="00315EAD" w:rsidP="00315EAD">
      <w:pPr>
        <w:shd w:val="clear" w:color="auto" w:fill="FFFFFF"/>
        <w:tabs>
          <w:tab w:val="left" w:pos="2268"/>
        </w:tabs>
        <w:spacing w:before="100" w:beforeAutospacing="1" w:after="100" w:afterAutospacing="1" w:line="240" w:lineRule="auto"/>
        <w:ind w:left="2124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La mission est chargée d’accompagner les collectivités en réalisant notamment </w:t>
      </w:r>
      <w:r w:rsidRPr="00315EAD">
        <w:rPr>
          <w:rFonts w:ascii="Arial" w:eastAsia="Times New Roman" w:hAnsi="Arial" w:cs="Arial"/>
          <w:b/>
          <w:sz w:val="24"/>
          <w:szCs w:val="24"/>
          <w:lang w:eastAsia="fr-FR"/>
        </w:rPr>
        <w:t>un état des lieux des ouvrages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et des installations nécessaires à l’exercice de la compétence.</w:t>
      </w:r>
    </w:p>
    <w:p w:rsidR="00315EAD" w:rsidRDefault="00315EAD" w:rsidP="00315EAD">
      <w:pPr>
        <w:shd w:val="clear" w:color="auto" w:fill="FFFFFF"/>
        <w:tabs>
          <w:tab w:val="left" w:pos="2268"/>
        </w:tabs>
        <w:spacing w:before="100" w:beforeAutospacing="1" w:after="100" w:afterAutospacing="1" w:line="240" w:lineRule="auto"/>
        <w:ind w:left="2124"/>
        <w:rPr>
          <w:rFonts w:ascii="Arial" w:eastAsia="Times New Roman" w:hAnsi="Arial" w:cs="Arial"/>
          <w:sz w:val="24"/>
          <w:szCs w:val="24"/>
          <w:lang w:eastAsia="fr-FR"/>
        </w:rPr>
      </w:pPr>
    </w:p>
    <w:p w:rsidR="00315EAD" w:rsidRDefault="00315EAD" w:rsidP="00315EAD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FF"/>
          <w:sz w:val="24"/>
          <w:szCs w:val="24"/>
          <w:lang w:eastAsia="fr-FR"/>
        </w:rPr>
      </w:pPr>
      <w:r w:rsidRPr="00315EAD">
        <w:rPr>
          <w:rFonts w:ascii="Arial" w:eastAsia="Times New Roman" w:hAnsi="Arial" w:cs="Arial"/>
          <w:b/>
          <w:color w:val="0000FF"/>
          <w:sz w:val="24"/>
          <w:szCs w:val="24"/>
          <w:lang w:eastAsia="fr-FR"/>
        </w:rPr>
        <w:t>La procédure SOCLE (Stratégie d’Organisation des Compétences Locales de l’Eau)</w:t>
      </w:r>
    </w:p>
    <w:p w:rsidR="00315EAD" w:rsidRPr="00315EAD" w:rsidRDefault="00315EAD" w:rsidP="00315EAD">
      <w:pPr>
        <w:pStyle w:val="Paragraphedeliste"/>
        <w:shd w:val="clear" w:color="auto" w:fill="FFFFFF"/>
        <w:spacing w:before="100" w:beforeAutospacing="1" w:after="100" w:afterAutospacing="1" w:line="240" w:lineRule="auto"/>
        <w:ind w:left="2136"/>
        <w:rPr>
          <w:rFonts w:ascii="Arial" w:eastAsia="Times New Roman" w:hAnsi="Arial" w:cs="Arial"/>
          <w:b/>
          <w:color w:val="0000FF"/>
          <w:sz w:val="24"/>
          <w:szCs w:val="24"/>
          <w:lang w:eastAsia="fr-FR"/>
        </w:rPr>
      </w:pPr>
    </w:p>
    <w:p w:rsidR="00D510E7" w:rsidRDefault="0022276F" w:rsidP="0022276F">
      <w:pPr>
        <w:pStyle w:val="Paragraphedeliste"/>
        <w:shd w:val="clear" w:color="auto" w:fill="FFFFFF"/>
        <w:spacing w:before="100" w:beforeAutospacing="1" w:after="100" w:afterAutospacing="1" w:line="240" w:lineRule="auto"/>
        <w:ind w:left="213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Cette procédure est adossée au Schéma Directeur d’Aménagement et de Gestion de l’Eau (SDAGE) et son objectif est de préparer et d’anticiper les transferts de compétences « GEMAPI »</w:t>
      </w:r>
    </w:p>
    <w:p w:rsidR="00E72532" w:rsidRDefault="00E72532" w:rsidP="0022276F">
      <w:pPr>
        <w:pStyle w:val="Paragraphedeliste"/>
        <w:shd w:val="clear" w:color="auto" w:fill="FFFFFF"/>
        <w:spacing w:before="100" w:beforeAutospacing="1" w:after="100" w:afterAutospacing="1" w:line="240" w:lineRule="auto"/>
        <w:ind w:left="2136"/>
        <w:rPr>
          <w:rFonts w:ascii="Arial" w:eastAsia="Times New Roman" w:hAnsi="Arial" w:cs="Arial"/>
          <w:sz w:val="24"/>
          <w:szCs w:val="24"/>
          <w:lang w:eastAsia="fr-FR"/>
        </w:rPr>
      </w:pPr>
    </w:p>
    <w:p w:rsidR="00E72532" w:rsidRDefault="00E72532" w:rsidP="0022276F">
      <w:pPr>
        <w:pStyle w:val="Paragraphedeliste"/>
        <w:shd w:val="clear" w:color="auto" w:fill="FFFFFF"/>
        <w:spacing w:before="100" w:beforeAutospacing="1" w:after="100" w:afterAutospacing="1" w:line="240" w:lineRule="auto"/>
        <w:ind w:left="213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Cette stratégie portée par les Préfets coordonnateurs de bassin doit permettre de : </w:t>
      </w:r>
    </w:p>
    <w:p w:rsidR="00E72532" w:rsidRDefault="00E72532" w:rsidP="0022276F">
      <w:pPr>
        <w:pStyle w:val="Paragraphedeliste"/>
        <w:shd w:val="clear" w:color="auto" w:fill="FFFFFF"/>
        <w:spacing w:before="100" w:beforeAutospacing="1" w:after="100" w:afterAutospacing="1" w:line="240" w:lineRule="auto"/>
        <w:ind w:left="2136"/>
        <w:rPr>
          <w:rFonts w:ascii="Arial" w:eastAsia="Times New Roman" w:hAnsi="Arial" w:cs="Arial"/>
          <w:sz w:val="24"/>
          <w:szCs w:val="24"/>
          <w:lang w:eastAsia="fr-FR"/>
        </w:rPr>
      </w:pPr>
    </w:p>
    <w:p w:rsidR="00E72532" w:rsidRDefault="00E72532" w:rsidP="00E72532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72532">
        <w:rPr>
          <w:rFonts w:ascii="Arial" w:eastAsia="Times New Roman" w:hAnsi="Arial" w:cs="Arial"/>
          <w:b/>
          <w:sz w:val="24"/>
          <w:szCs w:val="24"/>
          <w:lang w:eastAsia="fr-FR"/>
        </w:rPr>
        <w:t>Produire avant le 1</w:t>
      </w:r>
      <w:r w:rsidRPr="00E72532">
        <w:rPr>
          <w:rFonts w:ascii="Arial" w:eastAsia="Times New Roman" w:hAnsi="Arial" w:cs="Arial"/>
          <w:b/>
          <w:sz w:val="24"/>
          <w:szCs w:val="24"/>
          <w:vertAlign w:val="superscript"/>
          <w:lang w:eastAsia="fr-FR"/>
        </w:rPr>
        <w:t>er</w:t>
      </w:r>
      <w:r w:rsidRPr="00E7253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janvier 2018 un descriptif de la répartition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entre les collectivités et leurs groupements des compétences dans le domaine de l’eau.</w:t>
      </w:r>
    </w:p>
    <w:p w:rsidR="00E72532" w:rsidRDefault="00E72532" w:rsidP="00E72532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72532">
        <w:rPr>
          <w:rFonts w:ascii="Arial" w:eastAsia="Times New Roman" w:hAnsi="Arial" w:cs="Arial"/>
          <w:b/>
          <w:sz w:val="24"/>
          <w:szCs w:val="24"/>
          <w:lang w:eastAsia="fr-FR"/>
        </w:rPr>
        <w:t>Proposer une évolution des modalités de coopération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entre collectivités sur les territoires à fort enjeu </w:t>
      </w:r>
    </w:p>
    <w:p w:rsidR="00E72532" w:rsidRDefault="00E72532" w:rsidP="00E72532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Rechercher la cohérence hydrographique, </w:t>
      </w:r>
      <w:r w:rsidRPr="00E7253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le renforcement des solidarités financières et territoriales </w:t>
      </w:r>
      <w:r>
        <w:rPr>
          <w:rFonts w:ascii="Arial" w:eastAsia="Times New Roman" w:hAnsi="Arial" w:cs="Arial"/>
          <w:sz w:val="24"/>
          <w:szCs w:val="24"/>
          <w:lang w:eastAsia="fr-FR"/>
        </w:rPr>
        <w:t>et la gestion durable des équipements nécessaires à l’exercice des compétences.</w:t>
      </w:r>
    </w:p>
    <w:p w:rsidR="00E72532" w:rsidRDefault="00680CDC" w:rsidP="00E72532">
      <w:pPr>
        <w:pStyle w:val="Paragraphedeliste"/>
        <w:shd w:val="clear" w:color="auto" w:fill="FFFFFF"/>
        <w:spacing w:before="100" w:beforeAutospacing="1" w:after="100" w:afterAutospacing="1" w:line="240" w:lineRule="auto"/>
        <w:ind w:left="1776"/>
        <w:rPr>
          <w:rFonts w:ascii="Arial" w:eastAsia="Times New Roman" w:hAnsi="Arial" w:cs="Arial"/>
          <w:sz w:val="24"/>
          <w:szCs w:val="24"/>
          <w:lang w:eastAsia="fr-FR"/>
        </w:rPr>
      </w:pPr>
      <w:r w:rsidRPr="00251631">
        <w:rPr>
          <w:rFonts w:ascii="Arial" w:hAnsi="Arial" w:cs="Arial"/>
          <w:b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68480" behindDoc="1" locked="0" layoutInCell="1" allowOverlap="1" wp14:anchorId="4A33824B" wp14:editId="351A66E4">
            <wp:simplePos x="0" y="0"/>
            <wp:positionH relativeFrom="page">
              <wp:align>left</wp:align>
            </wp:positionH>
            <wp:positionV relativeFrom="paragraph">
              <wp:posOffset>-897890</wp:posOffset>
            </wp:positionV>
            <wp:extent cx="1415415" cy="9820275"/>
            <wp:effectExtent l="0" t="0" r="0" b="0"/>
            <wp:wrapNone/>
            <wp:docPr id="4" name="Picture 6" descr="UDMlogotetie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UDMlogotetie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9820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72532" w:rsidRDefault="00E72532" w:rsidP="00E72532">
      <w:pPr>
        <w:pStyle w:val="Paragraphedeliste"/>
        <w:shd w:val="clear" w:color="auto" w:fill="FFFFFF"/>
        <w:spacing w:before="100" w:beforeAutospacing="1" w:after="100" w:afterAutospacing="1" w:line="240" w:lineRule="auto"/>
        <w:ind w:left="2124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Cette stratégie SOCLE doit être arrêtée par le Préfet coordonnateur du bassin </w:t>
      </w:r>
      <w:r w:rsidRPr="00E72532">
        <w:rPr>
          <w:rFonts w:ascii="Arial" w:eastAsia="Times New Roman" w:hAnsi="Arial" w:cs="Arial"/>
          <w:b/>
          <w:sz w:val="24"/>
          <w:szCs w:val="24"/>
          <w:lang w:eastAsia="fr-FR"/>
        </w:rPr>
        <w:t>au plus tard le 31 décembre 2017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après consultation des communes et de leurs groupements  qui auront </w:t>
      </w:r>
      <w:r w:rsidRPr="00E72532">
        <w:rPr>
          <w:rFonts w:ascii="Arial" w:eastAsia="Times New Roman" w:hAnsi="Arial" w:cs="Arial"/>
          <w:b/>
          <w:sz w:val="24"/>
          <w:szCs w:val="24"/>
          <w:lang w:eastAsia="fr-FR"/>
        </w:rPr>
        <w:t>2 mois pour envoyer leurs observations au Préfet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973BC6" w:rsidRDefault="00973BC6" w:rsidP="00E72532">
      <w:pPr>
        <w:pStyle w:val="Paragraphedeliste"/>
        <w:shd w:val="clear" w:color="auto" w:fill="FFFFFF"/>
        <w:spacing w:before="100" w:beforeAutospacing="1" w:after="100" w:afterAutospacing="1" w:line="240" w:lineRule="auto"/>
        <w:ind w:left="2124"/>
        <w:rPr>
          <w:rFonts w:ascii="Arial" w:eastAsia="Times New Roman" w:hAnsi="Arial" w:cs="Arial"/>
          <w:sz w:val="24"/>
          <w:szCs w:val="24"/>
          <w:lang w:eastAsia="fr-FR"/>
        </w:rPr>
      </w:pPr>
    </w:p>
    <w:p w:rsidR="00973BC6" w:rsidRPr="00315EAD" w:rsidRDefault="00973BC6" w:rsidP="00E72532">
      <w:pPr>
        <w:pStyle w:val="Paragraphedeliste"/>
        <w:shd w:val="clear" w:color="auto" w:fill="FFFFFF"/>
        <w:spacing w:before="100" w:beforeAutospacing="1" w:after="100" w:afterAutospacing="1" w:line="240" w:lineRule="auto"/>
        <w:ind w:left="2124"/>
        <w:rPr>
          <w:rFonts w:ascii="Arial" w:eastAsia="Times New Roman" w:hAnsi="Arial" w:cs="Arial"/>
          <w:sz w:val="24"/>
          <w:szCs w:val="24"/>
          <w:lang w:eastAsia="fr-FR"/>
        </w:rPr>
      </w:pPr>
    </w:p>
    <w:p w:rsidR="00EB7300" w:rsidRPr="00973BC6" w:rsidRDefault="00973BC6" w:rsidP="00973BC6">
      <w:pPr>
        <w:shd w:val="clear" w:color="auto" w:fill="FFFFFF"/>
        <w:spacing w:before="100" w:beforeAutospacing="1" w:after="100" w:afterAutospacing="1" w:line="240" w:lineRule="auto"/>
        <w:ind w:left="1416" w:firstLine="708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fr-FR"/>
        </w:rPr>
      </w:pPr>
      <w:r w:rsidRPr="00973BC6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fr-FR"/>
        </w:rPr>
        <w:t>Les Responsabilités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fr-FR"/>
        </w:rPr>
        <w:t>____________________________</w:t>
      </w:r>
    </w:p>
    <w:p w:rsidR="00045167" w:rsidRDefault="00973BC6" w:rsidP="00045167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Les maires sont déjà compétentes en matière de prévention des inondations (art</w:t>
      </w:r>
      <w:r w:rsidR="00045167" w:rsidRPr="00EB7300">
        <w:rPr>
          <w:rFonts w:ascii="Arial" w:eastAsia="Times New Roman" w:hAnsi="Arial" w:cs="Arial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L.2212-2 du CGCT) mais le transfert de la compétence aux EPCI de manière obligatoire implique la responsabilité nouvelle pour les communautés et leur Président, de gestionnaire.</w:t>
      </w:r>
    </w:p>
    <w:p w:rsidR="00973BC6" w:rsidRDefault="00973BC6" w:rsidP="00045167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Les deux régimes de responsabilité (</w:t>
      </w:r>
      <w:r w:rsidRPr="00973BC6">
        <w:rPr>
          <w:rFonts w:ascii="Arial" w:eastAsia="Times New Roman" w:hAnsi="Arial" w:cs="Arial"/>
          <w:i/>
          <w:sz w:val="24"/>
          <w:szCs w:val="24"/>
          <w:lang w:eastAsia="fr-FR"/>
        </w:rPr>
        <w:t>pour le Maire pouvoir de police, pour le Président de l’EPCI, responsabilité de gestionnaire de la compétence GEMAPI</w:t>
      </w:r>
      <w:r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est des ouvrages concernés par cet exercice de compétence</w:t>
      </w:r>
      <w:r>
        <w:rPr>
          <w:rFonts w:ascii="Arial" w:eastAsia="Times New Roman" w:hAnsi="Arial" w:cs="Arial"/>
          <w:sz w:val="24"/>
          <w:szCs w:val="24"/>
          <w:lang w:eastAsia="fr-FR"/>
        </w:rPr>
        <w:t>) restent indépendants l’un de l’</w:t>
      </w:r>
      <w:r w:rsidR="00680CDC">
        <w:rPr>
          <w:rFonts w:ascii="Arial" w:eastAsia="Times New Roman" w:hAnsi="Arial" w:cs="Arial"/>
          <w:sz w:val="24"/>
          <w:szCs w:val="24"/>
          <w:lang w:eastAsia="fr-FR"/>
        </w:rPr>
        <w:t>autre mais une bonne coordination est souhaitable entre les deux autorités.</w:t>
      </w:r>
    </w:p>
    <w:p w:rsidR="003C0D9C" w:rsidRDefault="003C0D9C" w:rsidP="00045167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</w:p>
    <w:p w:rsidR="003C0D9C" w:rsidRDefault="003C0D9C" w:rsidP="003C0D9C">
      <w:pPr>
        <w:shd w:val="clear" w:color="auto" w:fill="FFFFFF"/>
        <w:spacing w:before="100" w:beforeAutospacing="1" w:after="100" w:afterAutospacing="1" w:line="240" w:lineRule="auto"/>
        <w:ind w:left="1416" w:firstLine="708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fr-FR"/>
        </w:rPr>
      </w:pPr>
      <w:r w:rsidRPr="00973BC6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fr-FR"/>
        </w:rPr>
        <w:t xml:space="preserve">Le 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fr-FR"/>
        </w:rPr>
        <w:t>Financement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fr-FR"/>
        </w:rPr>
        <w:t>____________________________</w:t>
      </w:r>
    </w:p>
    <w:p w:rsidR="003C0D9C" w:rsidRDefault="003C0D9C" w:rsidP="003C0D9C">
      <w:pPr>
        <w:shd w:val="clear" w:color="auto" w:fill="FFFFFF"/>
        <w:tabs>
          <w:tab w:val="left" w:pos="1418"/>
        </w:tabs>
        <w:spacing w:before="100" w:beforeAutospacing="1" w:after="100" w:afterAutospacing="1" w:line="240" w:lineRule="auto"/>
        <w:ind w:left="1416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  <w:r w:rsidRPr="003C0D9C">
        <w:rPr>
          <w:rFonts w:ascii="Arial" w:eastAsia="Times New Roman" w:hAnsi="Arial" w:cs="Arial"/>
          <w:b/>
          <w:bCs/>
          <w:color w:val="0000FF"/>
          <w:sz w:val="27"/>
          <w:szCs w:val="27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fr-FR"/>
        </w:rPr>
        <w:tab/>
      </w:r>
      <w:r w:rsidRPr="003C0D9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r-FR"/>
        </w:rPr>
        <w:t xml:space="preserve">La loi permet aux communes ou à leurs groupements d’instaurer </w:t>
      </w:r>
      <w:r w:rsidRPr="003C0D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une taxe pour la gestion des milieux aquatiques et la prévention des inondations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.</w:t>
      </w:r>
    </w:p>
    <w:p w:rsidR="003C0D9C" w:rsidRDefault="003C0D9C" w:rsidP="003C0D9C">
      <w:pPr>
        <w:shd w:val="clear" w:color="auto" w:fill="FFFFFF"/>
        <w:tabs>
          <w:tab w:val="left" w:pos="1418"/>
        </w:tabs>
        <w:spacing w:before="100" w:beforeAutospacing="1" w:after="100" w:afterAutospacing="1" w:line="240" w:lineRule="auto"/>
        <w:ind w:left="1416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r-FR"/>
        </w:rPr>
        <w:tab/>
        <w:t xml:space="preserve">Sa mise en œuvre n’implique pas de vote sur un taux mais sur un produit global attendu. Il s’agit </w:t>
      </w:r>
      <w:r w:rsidRPr="003C0D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d’un impôt additionnel aux 4 taxes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r-FR"/>
        </w:rPr>
        <w:t xml:space="preserve"> dont la décision ne nécessite pas délibération concordante Communes/EPCI.</w:t>
      </w:r>
    </w:p>
    <w:p w:rsidR="003C0D9C" w:rsidRDefault="003C0D9C" w:rsidP="003C0D9C">
      <w:pPr>
        <w:shd w:val="clear" w:color="auto" w:fill="FFFFFF"/>
        <w:tabs>
          <w:tab w:val="left" w:pos="1418"/>
        </w:tabs>
        <w:spacing w:before="100" w:beforeAutospacing="1" w:after="100" w:afterAutospacing="1" w:line="240" w:lineRule="auto"/>
        <w:ind w:left="1416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r-FR"/>
        </w:rPr>
        <w:t xml:space="preserve">Cette taxe facultative est plafonnée à </w:t>
      </w:r>
      <w:r w:rsidRPr="003C0D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40€ par habitant et par an.</w:t>
      </w:r>
    </w:p>
    <w:p w:rsidR="003C0D9C" w:rsidRDefault="003C0D9C" w:rsidP="003C0D9C">
      <w:pPr>
        <w:shd w:val="clear" w:color="auto" w:fill="FFFFFF"/>
        <w:tabs>
          <w:tab w:val="left" w:pos="1418"/>
        </w:tabs>
        <w:spacing w:before="100" w:beforeAutospacing="1" w:after="100" w:afterAutospacing="1" w:line="240" w:lineRule="auto"/>
        <w:ind w:left="1416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r-FR"/>
        </w:rPr>
        <w:t xml:space="preserve">Son produit est affecté à </w:t>
      </w:r>
      <w:r w:rsidRPr="003C0D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un budget annexe spécial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r-FR"/>
        </w:rPr>
        <w:t xml:space="preserve"> et est réparti, par les services fiscaux, entre les assujettis aux taxes foncières sur les propriétés bâties et non bâties, à la taxe d’habitation et à la CFE.</w:t>
      </w:r>
    </w:p>
    <w:p w:rsidR="003C0D9C" w:rsidRPr="003C0D9C" w:rsidRDefault="003C0D9C" w:rsidP="003C0D9C">
      <w:pPr>
        <w:shd w:val="clear" w:color="auto" w:fill="FFFFFF"/>
        <w:tabs>
          <w:tab w:val="left" w:pos="1418"/>
        </w:tabs>
        <w:spacing w:before="100" w:beforeAutospacing="1" w:after="100" w:afterAutospacing="1" w:line="240" w:lineRule="auto"/>
        <w:ind w:left="1416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r-FR"/>
        </w:rPr>
        <w:t xml:space="preserve">Les </w:t>
      </w:r>
      <w:r w:rsidRPr="003C0D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Conseils Régionaux et Départementaux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r-FR"/>
        </w:rPr>
        <w:t xml:space="preserve"> peuvent financer tout ou partie de la GEMAPI par le biais de l’exercice, pour les uns de la compétence économique, pour les autres par celui de la solidarité territoriale.</w:t>
      </w:r>
      <w:bookmarkStart w:id="0" w:name="_GoBack"/>
      <w:bookmarkEnd w:id="0"/>
    </w:p>
    <w:p w:rsidR="003C0D9C" w:rsidRPr="00EB7300" w:rsidRDefault="003C0D9C" w:rsidP="00045167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</w:p>
    <w:p w:rsidR="00A41C1D" w:rsidRDefault="00A41C1D"/>
    <w:sectPr w:rsidR="00A41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014A"/>
    <w:multiLevelType w:val="hybridMultilevel"/>
    <w:tmpl w:val="7B46C05C"/>
    <w:lvl w:ilvl="0" w:tplc="322C095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D1442F9"/>
    <w:multiLevelType w:val="hybridMultilevel"/>
    <w:tmpl w:val="3FCAA60C"/>
    <w:lvl w:ilvl="0" w:tplc="8788D2FA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FF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F6596B"/>
    <w:multiLevelType w:val="hybridMultilevel"/>
    <w:tmpl w:val="34E0CFCC"/>
    <w:lvl w:ilvl="0" w:tplc="040C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47D73693"/>
    <w:multiLevelType w:val="hybridMultilevel"/>
    <w:tmpl w:val="D08C3400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22A6AD9"/>
    <w:multiLevelType w:val="hybridMultilevel"/>
    <w:tmpl w:val="DC589714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D88210E"/>
    <w:multiLevelType w:val="multilevel"/>
    <w:tmpl w:val="A8FC6274"/>
    <w:lvl w:ilvl="0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00"/>
    <w:rsid w:val="00001C35"/>
    <w:rsid w:val="00045167"/>
    <w:rsid w:val="001F78BB"/>
    <w:rsid w:val="002074E4"/>
    <w:rsid w:val="0022276F"/>
    <w:rsid w:val="00251631"/>
    <w:rsid w:val="003038F0"/>
    <w:rsid w:val="00315EAD"/>
    <w:rsid w:val="003C0D9C"/>
    <w:rsid w:val="004F1466"/>
    <w:rsid w:val="0050469E"/>
    <w:rsid w:val="00680CDC"/>
    <w:rsid w:val="00790A56"/>
    <w:rsid w:val="008B26A9"/>
    <w:rsid w:val="00913DFA"/>
    <w:rsid w:val="00973BC6"/>
    <w:rsid w:val="009D2FDB"/>
    <w:rsid w:val="00A35DB8"/>
    <w:rsid w:val="00A41C1D"/>
    <w:rsid w:val="00A430CB"/>
    <w:rsid w:val="00B7268F"/>
    <w:rsid w:val="00D510E7"/>
    <w:rsid w:val="00D84EC6"/>
    <w:rsid w:val="00E24B48"/>
    <w:rsid w:val="00E72532"/>
    <w:rsid w:val="00EB7300"/>
    <w:rsid w:val="00F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4E3EF-8758-4D91-8943-464962C6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1631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832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8217">
                              <w:marLeft w:val="15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9" w:color="B1093D"/>
                                <w:left w:val="single" w:sz="6" w:space="0" w:color="B1093D"/>
                                <w:bottom w:val="single" w:sz="6" w:space="15" w:color="B1093D"/>
                                <w:right w:val="single" w:sz="6" w:space="0" w:color="B1093D"/>
                              </w:divBdr>
                              <w:divsChild>
                                <w:div w:id="1776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712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2" w:color="E4E4E4"/>
                                    <w:right w:val="single" w:sz="6" w:space="4" w:color="E4E4E4"/>
                                  </w:divBdr>
                                </w:div>
                                <w:div w:id="8729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Rey</dc:creator>
  <cp:keywords/>
  <dc:description/>
  <cp:lastModifiedBy>Claude Rey</cp:lastModifiedBy>
  <cp:revision>7</cp:revision>
  <dcterms:created xsi:type="dcterms:W3CDTF">2016-06-10T14:32:00Z</dcterms:created>
  <dcterms:modified xsi:type="dcterms:W3CDTF">2016-06-14T07:44:00Z</dcterms:modified>
</cp:coreProperties>
</file>